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A22D1" w14:textId="77777777" w:rsidR="000D1778" w:rsidRPr="00E966D8" w:rsidRDefault="000D1778" w:rsidP="000D1778">
      <w:pPr>
        <w:pStyle w:val="ManualHeading1"/>
        <w:rPr>
          <w:noProof/>
        </w:rPr>
      </w:pPr>
      <w:r w:rsidRPr="00E966D8">
        <w:rPr>
          <w:noProof/>
        </w:rPr>
        <w:t>3.6. LISÄTIETOLOMAKE – MAKSUVALMIUSTUKI KALASTAJILLE</w:t>
      </w:r>
    </w:p>
    <w:p w14:paraId="3F868970" w14:textId="77777777" w:rsidR="000D1778" w:rsidRPr="00E966D8" w:rsidRDefault="000D1778" w:rsidP="000D1778">
      <w:pPr>
        <w:rPr>
          <w:i/>
          <w:iCs/>
          <w:noProof/>
        </w:rPr>
      </w:pPr>
      <w:r w:rsidRPr="00E966D8">
        <w:rPr>
          <w:i/>
          <w:noProof/>
        </w:rPr>
        <w:t>Jäsenvaltioiden on käytettävä tätä lomaketta ilmoittaessaan kalastus- ja vesiviljelyalan valtiontukea koskevien suuntaviivojen</w:t>
      </w:r>
      <w:r w:rsidRPr="00E966D8">
        <w:rPr>
          <w:rStyle w:val="FootnoteReference"/>
          <w:rFonts w:eastAsia="Times New Roman"/>
          <w:i/>
          <w:noProof/>
          <w:lang w:eastAsia="en-GB"/>
        </w:rPr>
        <w:footnoteReference w:id="1"/>
      </w:r>
      <w:r w:rsidRPr="00E966D8">
        <w:rPr>
          <w:i/>
          <w:noProof/>
        </w:rPr>
        <w:t xml:space="preserve"> II osan 3 luvun 3.6 jaksossa kuvatusta kalastajille myönnettävästä maksuvalmiustuesta. Tämän jakson mukaista tukea voidaan myöntää myös sisävesikalastuksessa toimiville yrityksille. </w:t>
      </w:r>
    </w:p>
    <w:p w14:paraId="27535B8A" w14:textId="77777777" w:rsidR="000D1778" w:rsidRPr="00E966D8" w:rsidRDefault="000D1778" w:rsidP="000D1778">
      <w:pPr>
        <w:pStyle w:val="ManualNumPar1"/>
        <w:rPr>
          <w:noProof/>
        </w:rPr>
      </w:pPr>
      <w:r w:rsidRPr="0009343E">
        <w:rPr>
          <w:noProof/>
        </w:rPr>
        <w:t>1.</w:t>
      </w:r>
      <w:r w:rsidRPr="0009343E">
        <w:rPr>
          <w:noProof/>
        </w:rPr>
        <w:tab/>
      </w:r>
      <w:r w:rsidRPr="00E966D8">
        <w:rPr>
          <w:noProof/>
        </w:rPr>
        <w:t xml:space="preserve">Edellytetäänkö toimenpiteessä, että tukea saanutta unionin kalastusalusta ei siirretä eikä sen lippuvaltiota vaihdeta unionin ulkopuolelle vähintään viiden vuoden aikana tuen loppumaksusta? </w:t>
      </w:r>
    </w:p>
    <w:p w14:paraId="43EB8C68" w14:textId="77777777" w:rsidR="000D1778" w:rsidRPr="00E966D8" w:rsidRDefault="000D1778" w:rsidP="000D1778">
      <w:pPr>
        <w:pStyle w:val="Text1"/>
        <w:rPr>
          <w:noProof/>
        </w:rPr>
      </w:pPr>
      <w:sdt>
        <w:sdtPr>
          <w:rPr>
            <w:noProof/>
          </w:rPr>
          <w:id w:val="-80508109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28315940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3E76525D" w14:textId="77777777" w:rsidR="000D1778" w:rsidRPr="00E966D8" w:rsidRDefault="000D1778" w:rsidP="000D1778">
      <w:pPr>
        <w:pStyle w:val="ManualNumPar2"/>
        <w:rPr>
          <w:noProof/>
        </w:rPr>
      </w:pPr>
      <w:r w:rsidRPr="0009343E">
        <w:rPr>
          <w:noProof/>
        </w:rPr>
        <w:t>1.1.</w:t>
      </w:r>
      <w:r w:rsidRPr="0009343E">
        <w:rPr>
          <w:noProof/>
        </w:rPr>
        <w:tab/>
      </w:r>
      <w:r w:rsidRPr="00E966D8">
        <w:rPr>
          <w:noProof/>
        </w:rPr>
        <w:t>Jos vastaus on myöntävä, mainitkaa oikeusperustan asianomaiset säännökset:</w:t>
      </w:r>
    </w:p>
    <w:p w14:paraId="5C4298CB" w14:textId="77777777" w:rsidR="000D1778" w:rsidRPr="00E966D8" w:rsidRDefault="000D1778" w:rsidP="000D1778">
      <w:pPr>
        <w:pStyle w:val="Text1"/>
        <w:rPr>
          <w:noProof/>
        </w:rPr>
      </w:pPr>
      <w:r w:rsidRPr="00E966D8">
        <w:rPr>
          <w:noProof/>
        </w:rPr>
        <w:t>……………………………………………………………………………………….</w:t>
      </w:r>
    </w:p>
    <w:p w14:paraId="01EC89E1" w14:textId="77777777" w:rsidR="000D1778" w:rsidRPr="00E966D8" w:rsidRDefault="000D1778" w:rsidP="000D1778">
      <w:pPr>
        <w:pStyle w:val="ManualNumPar1"/>
        <w:rPr>
          <w:noProof/>
        </w:rPr>
      </w:pPr>
      <w:r w:rsidRPr="0009343E">
        <w:rPr>
          <w:noProof/>
        </w:rPr>
        <w:t>2.</w:t>
      </w:r>
      <w:r w:rsidRPr="0009343E">
        <w:rPr>
          <w:noProof/>
        </w:rPr>
        <w:tab/>
      </w:r>
      <w:r w:rsidRPr="00E966D8">
        <w:rPr>
          <w:noProof/>
        </w:rPr>
        <w:t>Selittäkää yksityiskohtaisesti maksuvalmiustuen perusteena olevia olosuhteita ja kuvatkaa ulkopuolisia tapahtumia, joiden vuoksi kalastustoimintaa rajoitetaan väliaikaisesti.</w:t>
      </w:r>
    </w:p>
    <w:p w14:paraId="6A721FF4" w14:textId="77777777" w:rsidR="000D1778" w:rsidRPr="00E966D8" w:rsidRDefault="000D1778" w:rsidP="000D1778">
      <w:pPr>
        <w:pStyle w:val="Text1"/>
        <w:rPr>
          <w:noProof/>
        </w:rPr>
      </w:pPr>
      <w:r w:rsidRPr="00E966D8">
        <w:rPr>
          <w:noProof/>
        </w:rPr>
        <w:t>……………………………………………………………………………………….</w:t>
      </w:r>
    </w:p>
    <w:p w14:paraId="3740BBB8" w14:textId="77777777" w:rsidR="000D1778" w:rsidRPr="00E966D8" w:rsidRDefault="000D1778" w:rsidP="000D1778">
      <w:pPr>
        <w:pStyle w:val="ManualNumPar1"/>
        <w:rPr>
          <w:i/>
          <w:noProof/>
        </w:rPr>
      </w:pPr>
      <w:r w:rsidRPr="0009343E">
        <w:rPr>
          <w:noProof/>
        </w:rPr>
        <w:t>3.</w:t>
      </w:r>
      <w:r w:rsidRPr="0009343E">
        <w:rPr>
          <w:noProof/>
        </w:rPr>
        <w:tab/>
      </w:r>
      <w:r w:rsidRPr="00E966D8">
        <w:rPr>
          <w:noProof/>
        </w:rPr>
        <w:t>Täsmentäkää ulkopuolisen tapahtuman ajankohta, alkamis- ja päättymispäivät mukaan lukien (tapauksen mukaan).</w:t>
      </w:r>
    </w:p>
    <w:p w14:paraId="496E57C9" w14:textId="77777777" w:rsidR="000D1778" w:rsidRPr="00E966D8" w:rsidRDefault="000D1778" w:rsidP="000D1778">
      <w:pPr>
        <w:pStyle w:val="Text1"/>
        <w:rPr>
          <w:rFonts w:eastAsia="Times New Roman"/>
          <w:i/>
          <w:noProof/>
          <w:szCs w:val="24"/>
        </w:rPr>
      </w:pPr>
      <w:r w:rsidRPr="00E966D8">
        <w:rPr>
          <w:noProof/>
        </w:rPr>
        <w:t>…………………………………………………………………………</w:t>
      </w:r>
      <w:r w:rsidRPr="00E966D8">
        <w:rPr>
          <w:i/>
          <w:noProof/>
        </w:rPr>
        <w:t xml:space="preserve"> </w:t>
      </w:r>
    </w:p>
    <w:p w14:paraId="292AA0F9" w14:textId="77777777" w:rsidR="000D1778" w:rsidRPr="00E966D8" w:rsidRDefault="000D1778" w:rsidP="000D1778">
      <w:pPr>
        <w:pStyle w:val="ManualNumPar1"/>
        <w:rPr>
          <w:noProof/>
        </w:rPr>
      </w:pPr>
      <w:r w:rsidRPr="0009343E">
        <w:rPr>
          <w:noProof/>
        </w:rPr>
        <w:t>4.</w:t>
      </w:r>
      <w:r w:rsidRPr="0009343E">
        <w:rPr>
          <w:noProof/>
        </w:rPr>
        <w:tab/>
      </w:r>
      <w:r w:rsidRPr="00E966D8">
        <w:rPr>
          <w:noProof/>
        </w:rPr>
        <w:t>Voitteko vahvistaa, että toimenpide ei koske mitään seuraavista?</w:t>
      </w:r>
    </w:p>
    <w:p w14:paraId="636E39F6" w14:textId="77777777" w:rsidR="000D1778" w:rsidRPr="00E966D8" w:rsidRDefault="000D1778" w:rsidP="000D1778">
      <w:pPr>
        <w:pStyle w:val="Point1"/>
        <w:rPr>
          <w:noProof/>
        </w:rPr>
      </w:pPr>
      <w:r w:rsidRPr="0009343E">
        <w:rPr>
          <w:noProof/>
        </w:rPr>
        <w:t>(a)</w:t>
      </w:r>
      <w:r w:rsidRPr="0009343E">
        <w:rPr>
          <w:noProof/>
        </w:rPr>
        <w:tab/>
      </w:r>
      <w:r w:rsidRPr="00E966D8">
        <w:rPr>
          <w:noProof/>
        </w:rPr>
        <w:t>suuntaviivojen II osan 3 luvun 3.5 jaksossa luetellut tapaukset, joissa kalastustoiminta lopetetaan väliaikaisesti</w:t>
      </w:r>
    </w:p>
    <w:p w14:paraId="16B2737A" w14:textId="77777777" w:rsidR="000D1778" w:rsidRPr="00E966D8" w:rsidRDefault="000D1778" w:rsidP="000D1778">
      <w:pPr>
        <w:pStyle w:val="Point1"/>
        <w:rPr>
          <w:noProof/>
        </w:rPr>
      </w:pPr>
      <w:r w:rsidRPr="0009343E">
        <w:rPr>
          <w:noProof/>
        </w:rPr>
        <w:t>(b)</w:t>
      </w:r>
      <w:r w:rsidRPr="0009343E">
        <w:rPr>
          <w:noProof/>
        </w:rPr>
        <w:tab/>
      </w:r>
      <w:r w:rsidRPr="00E966D8">
        <w:rPr>
          <w:noProof/>
        </w:rPr>
        <w:t>säilyttämistoimenpiteet, jotka toteutetaan kestävää kalastusta koskevien kumppanuussopimusten tai vaihtoa ja yhteistä hoitoa koskevien sopimusten mukaisesti</w:t>
      </w:r>
    </w:p>
    <w:p w14:paraId="5704D261" w14:textId="77777777" w:rsidR="000D1778" w:rsidRPr="00E966D8" w:rsidRDefault="000D1778" w:rsidP="000D1778">
      <w:pPr>
        <w:pStyle w:val="Point1"/>
        <w:rPr>
          <w:noProof/>
        </w:rPr>
      </w:pPr>
      <w:r w:rsidRPr="0009343E">
        <w:rPr>
          <w:noProof/>
        </w:rPr>
        <w:t>(c)</w:t>
      </w:r>
      <w:r w:rsidRPr="0009343E">
        <w:rPr>
          <w:noProof/>
        </w:rPr>
        <w:tab/>
      </w:r>
      <w:r w:rsidRPr="00E966D8">
        <w:rPr>
          <w:noProof/>
        </w:rPr>
        <w:t>kalastusmahdollisuuksien väheneminen tai poistuminen EU:n vesillä yhteisen kalastuspolitiikan täytäntöönpanon yhteydessä</w:t>
      </w:r>
    </w:p>
    <w:p w14:paraId="6F07C2E1" w14:textId="77777777" w:rsidR="000D1778" w:rsidRPr="00E966D8" w:rsidRDefault="000D1778" w:rsidP="000D1778">
      <w:pPr>
        <w:pStyle w:val="Point1"/>
        <w:rPr>
          <w:noProof/>
        </w:rPr>
      </w:pPr>
      <w:r w:rsidRPr="0009343E">
        <w:rPr>
          <w:noProof/>
        </w:rPr>
        <w:t>(d)</w:t>
      </w:r>
      <w:r w:rsidRPr="0009343E">
        <w:rPr>
          <w:noProof/>
        </w:rPr>
        <w:tab/>
      </w:r>
      <w:r w:rsidRPr="00E966D8">
        <w:rPr>
          <w:noProof/>
        </w:rPr>
        <w:t>kalastusmahdollisuuksien väheneminen tai poistuminen muilla kuin EU:n vesillä esimerkiksi sen vuoksi, että kestävää kalastusta koskevaa kumppanuussopimusta tai vaihtoa ja yhteistä hoitoa koskevaa sopimusta tai tällaisten sopimusten nojalla tai alueellisen kalastuksenhoitojärjestön puitteissa toteutettavia kalastusmahdollisuuksien vahvistamista ja jakamista koskevaa toimenpidettä ei ole uusittu, sen soveltaminen on keskeytetty tai päätetty tai siitä neuvotellaan uudelleen.</w:t>
      </w:r>
    </w:p>
    <w:p w14:paraId="17CC244E" w14:textId="77777777" w:rsidR="000D1778" w:rsidRPr="00E966D8" w:rsidRDefault="000D1778" w:rsidP="000D1778">
      <w:pPr>
        <w:pStyle w:val="Text1"/>
        <w:rPr>
          <w:noProof/>
        </w:rPr>
      </w:pPr>
      <w:sdt>
        <w:sdtPr>
          <w:rPr>
            <w:noProof/>
          </w:rPr>
          <w:id w:val="-178803849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61436155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0D9993D7" w14:textId="77777777" w:rsidR="000D1778" w:rsidRPr="00E966D8" w:rsidRDefault="000D1778" w:rsidP="000D1778">
      <w:pPr>
        <w:pStyle w:val="ManualNumPar1"/>
        <w:rPr>
          <w:rFonts w:eastAsia="Times New Roman"/>
          <w:noProof/>
          <w:szCs w:val="24"/>
        </w:rPr>
      </w:pPr>
      <w:r w:rsidRPr="0009343E">
        <w:rPr>
          <w:noProof/>
        </w:rPr>
        <w:t>5.</w:t>
      </w:r>
      <w:r w:rsidRPr="0009343E">
        <w:rPr>
          <w:noProof/>
        </w:rPr>
        <w:tab/>
      </w:r>
      <w:r w:rsidRPr="00E966D8">
        <w:rPr>
          <w:noProof/>
        </w:rPr>
        <w:t>Edellytetäänkö toimenpiteessä, että tukea myönnetään ainoastaan, jos ulkopuolisen tapahtuman ja tulonmenetyksen välillä on suora syy-seuraussuhde?</w:t>
      </w:r>
    </w:p>
    <w:p w14:paraId="57C947DE" w14:textId="77777777" w:rsidR="000D1778" w:rsidRPr="00E966D8" w:rsidRDefault="000D1778" w:rsidP="000D1778">
      <w:pPr>
        <w:pStyle w:val="Text1"/>
        <w:rPr>
          <w:noProof/>
        </w:rPr>
      </w:pPr>
      <w:sdt>
        <w:sdtPr>
          <w:rPr>
            <w:noProof/>
          </w:rPr>
          <w:id w:val="28779218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05065601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5FD6E24B" w14:textId="77777777" w:rsidR="000D1778" w:rsidRPr="00E966D8" w:rsidRDefault="000D1778" w:rsidP="000D1778">
      <w:pPr>
        <w:pStyle w:val="ManualNumPar2"/>
        <w:rPr>
          <w:noProof/>
        </w:rPr>
      </w:pPr>
      <w:r w:rsidRPr="0009343E">
        <w:rPr>
          <w:noProof/>
        </w:rPr>
        <w:t>5.1.</w:t>
      </w:r>
      <w:r w:rsidRPr="0009343E">
        <w:rPr>
          <w:noProof/>
        </w:rPr>
        <w:tab/>
      </w:r>
      <w:r w:rsidRPr="00E966D8">
        <w:rPr>
          <w:noProof/>
        </w:rPr>
        <w:t>Jos vastaus on myöntävä, mainitkaa oikeusperustan asianomaiset säännökset:</w:t>
      </w:r>
    </w:p>
    <w:p w14:paraId="51B43E7F" w14:textId="77777777" w:rsidR="000D1778" w:rsidRPr="00E966D8" w:rsidRDefault="000D1778" w:rsidP="000D1778">
      <w:pPr>
        <w:pStyle w:val="Text1"/>
        <w:rPr>
          <w:noProof/>
        </w:rPr>
      </w:pPr>
      <w:r w:rsidRPr="00E966D8">
        <w:rPr>
          <w:noProof/>
        </w:rPr>
        <w:t>…………………………………………………………………………………….</w:t>
      </w:r>
    </w:p>
    <w:p w14:paraId="0ACE7385" w14:textId="77777777" w:rsidR="000D1778" w:rsidRPr="00E966D8" w:rsidRDefault="000D1778" w:rsidP="000D1778">
      <w:pPr>
        <w:pStyle w:val="ManualNumPar1"/>
        <w:rPr>
          <w:rFonts w:eastAsia="Times New Roman"/>
          <w:noProof/>
          <w:szCs w:val="24"/>
        </w:rPr>
      </w:pPr>
      <w:r w:rsidRPr="0009343E">
        <w:rPr>
          <w:noProof/>
        </w:rPr>
        <w:lastRenderedPageBreak/>
        <w:t>6.</w:t>
      </w:r>
      <w:r w:rsidRPr="0009343E">
        <w:rPr>
          <w:noProof/>
        </w:rPr>
        <w:tab/>
      </w:r>
      <w:r w:rsidRPr="00E966D8">
        <w:rPr>
          <w:noProof/>
        </w:rPr>
        <w:t>Esittäkää yksityiskohtainen kuvaus käyttöön otetuista valvonta- ja täytäntöönpanomekanismeista, joilla varmistetaan kalastajille myönnettävään maksuvalmiustukeen liittyvien edellytysten noudattaminen.</w:t>
      </w:r>
    </w:p>
    <w:p w14:paraId="2D325F94" w14:textId="77777777" w:rsidR="000D1778" w:rsidRPr="00E966D8" w:rsidRDefault="000D1778" w:rsidP="000D1778">
      <w:pPr>
        <w:pStyle w:val="Text1"/>
        <w:rPr>
          <w:noProof/>
        </w:rPr>
      </w:pPr>
      <w:r w:rsidRPr="00E966D8">
        <w:rPr>
          <w:noProof/>
        </w:rPr>
        <w:t>……………………………………………………………………………………….</w:t>
      </w:r>
    </w:p>
    <w:p w14:paraId="00897554" w14:textId="77777777" w:rsidR="000D1778" w:rsidRPr="00E966D8" w:rsidRDefault="000D1778" w:rsidP="000D1778">
      <w:pPr>
        <w:pStyle w:val="ManualNumPar1"/>
        <w:rPr>
          <w:rFonts w:eastAsia="Times New Roman"/>
          <w:noProof/>
          <w:szCs w:val="24"/>
        </w:rPr>
      </w:pPr>
      <w:r w:rsidRPr="0009343E">
        <w:rPr>
          <w:noProof/>
        </w:rPr>
        <w:t>7.</w:t>
      </w:r>
      <w:r w:rsidRPr="0009343E">
        <w:rPr>
          <w:noProof/>
        </w:rPr>
        <w:tab/>
      </w:r>
      <w:r w:rsidRPr="00E966D8">
        <w:rPr>
          <w:noProof/>
        </w:rPr>
        <w:t>Voitteko vahvistaa, että tukikelpoisia kustannuksia ovat ainoastaan ulkopuolisista tapahtumista johtuvat tulonmenetykset?</w:t>
      </w:r>
    </w:p>
    <w:p w14:paraId="3466D2B6" w14:textId="77777777" w:rsidR="000D1778" w:rsidRPr="00E966D8" w:rsidRDefault="000D1778" w:rsidP="000D1778">
      <w:pPr>
        <w:pStyle w:val="Text1"/>
        <w:rPr>
          <w:noProof/>
        </w:rPr>
      </w:pPr>
      <w:sdt>
        <w:sdtPr>
          <w:rPr>
            <w:noProof/>
          </w:rPr>
          <w:id w:val="-119446426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15468164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67AE56A0" w14:textId="77777777" w:rsidR="000D1778" w:rsidRPr="00E966D8" w:rsidRDefault="000D1778" w:rsidP="000D1778">
      <w:pPr>
        <w:pStyle w:val="ManualNumPar2"/>
        <w:rPr>
          <w:rFonts w:eastAsia="Times New Roman"/>
          <w:noProof/>
          <w:szCs w:val="24"/>
        </w:rPr>
      </w:pPr>
      <w:r w:rsidRPr="0009343E">
        <w:rPr>
          <w:noProof/>
        </w:rPr>
        <w:t>7.1.</w:t>
      </w:r>
      <w:r w:rsidRPr="0009343E">
        <w:rPr>
          <w:noProof/>
        </w:rPr>
        <w:tab/>
      </w:r>
      <w:r w:rsidRPr="00E966D8">
        <w:rPr>
          <w:noProof/>
        </w:rPr>
        <w:t>Jos vastaus edelliseen kysymykseen on myöntävä, mainitkaa oikeusperustan asianomaiset säännökset.</w:t>
      </w:r>
    </w:p>
    <w:p w14:paraId="263E1A8C" w14:textId="77777777" w:rsidR="000D1778" w:rsidRPr="00E966D8" w:rsidRDefault="000D1778" w:rsidP="000D1778">
      <w:pPr>
        <w:pStyle w:val="Text1"/>
        <w:rPr>
          <w:noProof/>
        </w:rPr>
      </w:pPr>
      <w:r w:rsidRPr="00E966D8">
        <w:rPr>
          <w:noProof/>
        </w:rPr>
        <w:t>…………………………………………………………………………………….</w:t>
      </w:r>
    </w:p>
    <w:p w14:paraId="378D238F" w14:textId="77777777" w:rsidR="000D1778" w:rsidRPr="00E966D8" w:rsidRDefault="000D1778" w:rsidP="000D1778">
      <w:pPr>
        <w:pStyle w:val="ManualNumPar2"/>
        <w:rPr>
          <w:rFonts w:eastAsia="Times New Roman"/>
          <w:noProof/>
          <w:szCs w:val="24"/>
        </w:rPr>
      </w:pPr>
      <w:r w:rsidRPr="0009343E">
        <w:rPr>
          <w:noProof/>
        </w:rPr>
        <w:t>7.2.</w:t>
      </w:r>
      <w:r w:rsidRPr="0009343E">
        <w:rPr>
          <w:noProof/>
        </w:rPr>
        <w:tab/>
      </w:r>
      <w:r w:rsidRPr="00E966D8">
        <w:rPr>
          <w:noProof/>
        </w:rPr>
        <w:t>Onko tukikelpoiset kustannukset laskettava erikseen kullekin yksittäiselle tuensaajalle?</w:t>
      </w:r>
    </w:p>
    <w:p w14:paraId="3C99EF5B" w14:textId="77777777" w:rsidR="000D1778" w:rsidRPr="00E966D8" w:rsidRDefault="000D1778" w:rsidP="000D1778">
      <w:pPr>
        <w:pStyle w:val="Text1"/>
        <w:rPr>
          <w:noProof/>
        </w:rPr>
      </w:pPr>
      <w:sdt>
        <w:sdtPr>
          <w:rPr>
            <w:noProof/>
          </w:rPr>
          <w:id w:val="194695880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79745626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788037B1" w14:textId="77777777" w:rsidR="000D1778" w:rsidRPr="00E966D8" w:rsidRDefault="000D1778" w:rsidP="000D1778">
      <w:pPr>
        <w:pStyle w:val="ManualNumPar3"/>
        <w:rPr>
          <w:noProof/>
        </w:rPr>
      </w:pPr>
      <w:r w:rsidRPr="0009343E">
        <w:rPr>
          <w:noProof/>
        </w:rPr>
        <w:t>7.2.1.</w:t>
      </w:r>
      <w:r w:rsidRPr="0009343E">
        <w:rPr>
          <w:noProof/>
        </w:rPr>
        <w:tab/>
      </w:r>
      <w:r w:rsidRPr="00E966D8">
        <w:rPr>
          <w:noProof/>
        </w:rPr>
        <w:t>Jos vastaus on myöntävä, mainitkaa oikeusperustan asianomaiset säännökset:</w:t>
      </w:r>
    </w:p>
    <w:p w14:paraId="69E585FF" w14:textId="77777777" w:rsidR="000D1778" w:rsidRPr="00E966D8" w:rsidRDefault="000D1778" w:rsidP="000D1778">
      <w:pPr>
        <w:pStyle w:val="Text1"/>
        <w:rPr>
          <w:noProof/>
        </w:rPr>
      </w:pPr>
      <w:r w:rsidRPr="00E966D8">
        <w:rPr>
          <w:noProof/>
        </w:rPr>
        <w:t>……………………………………………………………………………………….</w:t>
      </w:r>
    </w:p>
    <w:p w14:paraId="25527BDA" w14:textId="77777777" w:rsidR="000D1778" w:rsidRPr="00E966D8" w:rsidRDefault="000D1778" w:rsidP="000D1778">
      <w:pPr>
        <w:pStyle w:val="ManualNumPar2"/>
        <w:rPr>
          <w:rFonts w:eastAsia="Times New Roman"/>
          <w:noProof/>
          <w:szCs w:val="24"/>
        </w:rPr>
      </w:pPr>
      <w:bookmarkStart w:id="0" w:name="_Ref125386706"/>
      <w:r w:rsidRPr="0009343E">
        <w:rPr>
          <w:noProof/>
        </w:rPr>
        <w:t>7.3.</w:t>
      </w:r>
      <w:r w:rsidRPr="0009343E">
        <w:rPr>
          <w:noProof/>
        </w:rPr>
        <w:tab/>
      </w:r>
      <w:r w:rsidRPr="00E966D8">
        <w:rPr>
          <w:noProof/>
        </w:rPr>
        <w:t>Onko tulonmenetys laskettava suuntaviivojen 319 kohdan mukaisesti eli vähentämällä a) sinä vuonna, jona ulkopuolinen tapahtuma esiintyi, tuotettujen kalastustuotteiden määrä kerrottuna kyseisen vuoden aikana saadulla keskimääräisellä myyntihinnalla, b) kalastustuotteiden keskimääräisestä vuosituotannosta, joka on tuotettu kolmen vuoden ajanjaksolla ennen ulkopuolista tapahtumaa, tai ulkopuolista tapahtumaa edeltävään viisivuotiskauteen perustuvan kolmen vuoden keskimääräisestä tuotannosta, laskettuna ilman korkeinta ja alinta määrää, kumpikin kerrottuna saadulla keskimääräisellä myyntihinnalla?</w:t>
      </w:r>
      <w:bookmarkEnd w:id="0"/>
    </w:p>
    <w:p w14:paraId="68662978" w14:textId="77777777" w:rsidR="000D1778" w:rsidRPr="00E966D8" w:rsidRDefault="000D1778" w:rsidP="000D1778">
      <w:pPr>
        <w:pStyle w:val="Text1"/>
        <w:rPr>
          <w:noProof/>
        </w:rPr>
      </w:pPr>
      <w:sdt>
        <w:sdtPr>
          <w:rPr>
            <w:noProof/>
          </w:rPr>
          <w:id w:val="50848896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95706478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3251C12D" w14:textId="77777777" w:rsidR="000D1778" w:rsidRPr="00E966D8" w:rsidRDefault="000D1778" w:rsidP="000D1778">
      <w:pPr>
        <w:pStyle w:val="ManualNumPar3"/>
        <w:rPr>
          <w:rFonts w:eastAsia="Times New Roman"/>
          <w:noProof/>
          <w:szCs w:val="24"/>
        </w:rPr>
      </w:pPr>
      <w:r w:rsidRPr="0009343E">
        <w:rPr>
          <w:noProof/>
        </w:rPr>
        <w:t>7.3.1.</w:t>
      </w:r>
      <w:r w:rsidRPr="0009343E">
        <w:rPr>
          <w:noProof/>
        </w:rPr>
        <w:tab/>
      </w:r>
      <w:r w:rsidRPr="00E966D8">
        <w:rPr>
          <w:noProof/>
        </w:rPr>
        <w:t>Jos vastaus on myöntävä, mainitkaa oikeusperustan asianomaiset säännökset:</w:t>
      </w:r>
    </w:p>
    <w:p w14:paraId="056CBA5C" w14:textId="77777777" w:rsidR="000D1778" w:rsidRPr="00E966D8" w:rsidRDefault="000D1778" w:rsidP="000D1778">
      <w:pPr>
        <w:pStyle w:val="Text1"/>
        <w:rPr>
          <w:noProof/>
        </w:rPr>
      </w:pPr>
      <w:r w:rsidRPr="00E966D8">
        <w:rPr>
          <w:noProof/>
        </w:rPr>
        <w:t>…………………………………………………………………………………….</w:t>
      </w:r>
    </w:p>
    <w:p w14:paraId="37361B30" w14:textId="77777777" w:rsidR="000D1778" w:rsidRPr="00E966D8" w:rsidRDefault="000D1778" w:rsidP="000D1778">
      <w:pPr>
        <w:pStyle w:val="ManualNumPar2"/>
        <w:rPr>
          <w:rFonts w:eastAsia="Times New Roman"/>
          <w:noProof/>
          <w:szCs w:val="24"/>
        </w:rPr>
      </w:pPr>
      <w:bookmarkStart w:id="1" w:name="_Ref127295567"/>
      <w:r w:rsidRPr="0009343E">
        <w:rPr>
          <w:noProof/>
        </w:rPr>
        <w:t>7.4.</w:t>
      </w:r>
      <w:r w:rsidRPr="0009343E">
        <w:rPr>
          <w:noProof/>
        </w:rPr>
        <w:tab/>
      </w:r>
      <w:r w:rsidRPr="00E966D8">
        <w:rPr>
          <w:noProof/>
        </w:rPr>
        <w:t>Voivatko muut kustannukset, jotka ovat aiheutuneet tuensaajayritykselle ulkopuolisista tapahtumista, olla tukikelpoisia kustannuksia?</w:t>
      </w:r>
      <w:bookmarkEnd w:id="1"/>
    </w:p>
    <w:p w14:paraId="31BDCA05" w14:textId="77777777" w:rsidR="000D1778" w:rsidRPr="00E966D8" w:rsidRDefault="000D1778" w:rsidP="000D1778">
      <w:pPr>
        <w:pStyle w:val="Text1"/>
        <w:rPr>
          <w:noProof/>
        </w:rPr>
      </w:pPr>
      <w:sdt>
        <w:sdtPr>
          <w:rPr>
            <w:noProof/>
          </w:rPr>
          <w:id w:val="-122575054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15394412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58FBE387" w14:textId="77777777" w:rsidR="000D1778" w:rsidRPr="00E966D8" w:rsidRDefault="000D1778" w:rsidP="000D1778">
      <w:pPr>
        <w:pStyle w:val="ManualNumPar3"/>
        <w:rPr>
          <w:rFonts w:eastAsia="Times New Roman"/>
          <w:noProof/>
          <w:szCs w:val="24"/>
        </w:rPr>
      </w:pPr>
      <w:r w:rsidRPr="0009343E">
        <w:rPr>
          <w:noProof/>
        </w:rPr>
        <w:t>7.4.1.</w:t>
      </w:r>
      <w:r w:rsidRPr="0009343E">
        <w:rPr>
          <w:noProof/>
        </w:rPr>
        <w:tab/>
      </w:r>
      <w:r w:rsidRPr="00E966D8">
        <w:rPr>
          <w:noProof/>
        </w:rPr>
        <w:t xml:space="preserve">Jos vastaus on myöntävä, mainitkaa asianomaiset kustannukset: </w:t>
      </w:r>
    </w:p>
    <w:p w14:paraId="52549758" w14:textId="77777777" w:rsidR="000D1778" w:rsidRPr="00E966D8" w:rsidRDefault="000D1778" w:rsidP="000D1778">
      <w:pPr>
        <w:pStyle w:val="Text1"/>
        <w:rPr>
          <w:noProof/>
        </w:rPr>
      </w:pPr>
      <w:r w:rsidRPr="00E966D8">
        <w:rPr>
          <w:noProof/>
        </w:rPr>
        <w:t>……………………………………………………………………………………….</w:t>
      </w:r>
    </w:p>
    <w:p w14:paraId="123EFAFD" w14:textId="77777777" w:rsidR="000D1778" w:rsidRPr="00E966D8" w:rsidRDefault="000D1778" w:rsidP="000D1778">
      <w:pPr>
        <w:pStyle w:val="ManualNumPar3"/>
        <w:rPr>
          <w:rFonts w:eastAsia="Times New Roman"/>
          <w:noProof/>
          <w:szCs w:val="24"/>
        </w:rPr>
      </w:pPr>
      <w:r w:rsidRPr="0009343E">
        <w:rPr>
          <w:noProof/>
        </w:rPr>
        <w:t>7.4.2.</w:t>
      </w:r>
      <w:r w:rsidRPr="0009343E">
        <w:rPr>
          <w:noProof/>
        </w:rPr>
        <w:tab/>
      </w:r>
      <w:r w:rsidRPr="00E966D8">
        <w:rPr>
          <w:noProof/>
        </w:rPr>
        <w:t>Jos vastaus on myöntävä, mainitkaa oikeusperustan asianomaiset säännökset:</w:t>
      </w:r>
    </w:p>
    <w:p w14:paraId="152F8498" w14:textId="77777777" w:rsidR="000D1778" w:rsidRPr="00E966D8" w:rsidRDefault="000D1778" w:rsidP="000D1778">
      <w:pPr>
        <w:pStyle w:val="Text1"/>
        <w:rPr>
          <w:noProof/>
        </w:rPr>
      </w:pPr>
      <w:r w:rsidRPr="00E966D8">
        <w:rPr>
          <w:noProof/>
        </w:rPr>
        <w:t>……………………………………………………………………………………….</w:t>
      </w:r>
    </w:p>
    <w:p w14:paraId="5AFE7609" w14:textId="77777777" w:rsidR="000D1778" w:rsidRPr="00E966D8" w:rsidRDefault="000D1778" w:rsidP="000D1778">
      <w:pPr>
        <w:pStyle w:val="ManualNumPar2"/>
        <w:rPr>
          <w:rFonts w:eastAsia="Times New Roman"/>
          <w:noProof/>
          <w:szCs w:val="24"/>
        </w:rPr>
      </w:pPr>
      <w:bookmarkStart w:id="2" w:name="_Ref127295680"/>
      <w:r w:rsidRPr="0009343E">
        <w:rPr>
          <w:noProof/>
        </w:rPr>
        <w:t>7.5.</w:t>
      </w:r>
      <w:r w:rsidRPr="0009343E">
        <w:rPr>
          <w:noProof/>
        </w:rPr>
        <w:tab/>
      </w:r>
      <w:r w:rsidRPr="00E966D8">
        <w:rPr>
          <w:noProof/>
        </w:rPr>
        <w:t>Onko tukikelpoisista kustannuksista vähennettävä kustannukset, jotka eivät ole aiheutuneet ulkopuolisista tapahtumista ja jotka olisivat muutoinkin aiheutuneet tuensaajayritykselle?</w:t>
      </w:r>
      <w:bookmarkEnd w:id="2"/>
    </w:p>
    <w:p w14:paraId="6F0327A9" w14:textId="77777777" w:rsidR="000D1778" w:rsidRPr="00E966D8" w:rsidRDefault="000D1778" w:rsidP="000D1778">
      <w:pPr>
        <w:pStyle w:val="ManualNumPar3"/>
        <w:rPr>
          <w:rFonts w:eastAsia="Times New Roman"/>
          <w:noProof/>
          <w:szCs w:val="24"/>
        </w:rPr>
      </w:pPr>
      <w:r w:rsidRPr="0009343E">
        <w:rPr>
          <w:noProof/>
        </w:rPr>
        <w:t>7.5.1.</w:t>
      </w:r>
      <w:r w:rsidRPr="0009343E">
        <w:rPr>
          <w:noProof/>
        </w:rPr>
        <w:tab/>
      </w:r>
      <w:r w:rsidRPr="00E966D8">
        <w:rPr>
          <w:noProof/>
        </w:rPr>
        <w:t xml:space="preserve">Jos vastaus on myöntävä, mainitkaa asianomaiset kustannukset: </w:t>
      </w:r>
    </w:p>
    <w:p w14:paraId="671569EA" w14:textId="77777777" w:rsidR="000D1778" w:rsidRPr="00E966D8" w:rsidRDefault="000D1778" w:rsidP="000D1778">
      <w:pPr>
        <w:pStyle w:val="Text1"/>
        <w:rPr>
          <w:noProof/>
        </w:rPr>
      </w:pPr>
      <w:r w:rsidRPr="00E966D8">
        <w:rPr>
          <w:noProof/>
        </w:rPr>
        <w:t>……………………………………………………………………………………….</w:t>
      </w:r>
    </w:p>
    <w:p w14:paraId="3B8D2906" w14:textId="77777777" w:rsidR="000D1778" w:rsidRPr="00E966D8" w:rsidRDefault="000D1778" w:rsidP="000D1778">
      <w:pPr>
        <w:pStyle w:val="ManualNumPar3"/>
        <w:rPr>
          <w:rFonts w:eastAsia="Times New Roman"/>
          <w:noProof/>
          <w:szCs w:val="24"/>
        </w:rPr>
      </w:pPr>
      <w:r w:rsidRPr="0009343E">
        <w:rPr>
          <w:noProof/>
        </w:rPr>
        <w:t>7.5.2.</w:t>
      </w:r>
      <w:r w:rsidRPr="0009343E">
        <w:rPr>
          <w:noProof/>
        </w:rPr>
        <w:tab/>
      </w:r>
      <w:r w:rsidRPr="00E966D8">
        <w:rPr>
          <w:noProof/>
        </w:rPr>
        <w:t xml:space="preserve"> Jos vastaus on myöntävä, mainitkaa oikeusperustan asianomaiset säännökset:</w:t>
      </w:r>
    </w:p>
    <w:p w14:paraId="316B9E0D" w14:textId="77777777" w:rsidR="000D1778" w:rsidRPr="00E966D8" w:rsidRDefault="000D1778" w:rsidP="000D1778">
      <w:pPr>
        <w:pStyle w:val="Text1"/>
        <w:rPr>
          <w:noProof/>
        </w:rPr>
      </w:pPr>
      <w:r w:rsidRPr="00E966D8">
        <w:rPr>
          <w:noProof/>
        </w:rPr>
        <w:t>……………………………………………………………………………………….</w:t>
      </w:r>
    </w:p>
    <w:p w14:paraId="089B2E85" w14:textId="77777777" w:rsidR="000D1778" w:rsidRPr="00E966D8" w:rsidRDefault="000D1778" w:rsidP="000D1778">
      <w:pPr>
        <w:pStyle w:val="ManualNumPar2"/>
        <w:rPr>
          <w:rFonts w:eastAsia="Times New Roman"/>
          <w:noProof/>
          <w:szCs w:val="24"/>
        </w:rPr>
      </w:pPr>
      <w:r w:rsidRPr="0009343E">
        <w:rPr>
          <w:noProof/>
        </w:rPr>
        <w:lastRenderedPageBreak/>
        <w:t>7.6.</w:t>
      </w:r>
      <w:r w:rsidRPr="0009343E">
        <w:rPr>
          <w:noProof/>
        </w:rPr>
        <w:tab/>
      </w:r>
      <w:r w:rsidRPr="00E966D8">
        <w:rPr>
          <w:noProof/>
        </w:rPr>
        <w:t>Edellytetäänkö toimenpiteessä, että jos alusta käytetään ulkopuolisen tapahtuman aikana muuhun kuin kaupalliseen kalastustoimintaan, tulot ilmoitetaan ja vähennetään tämän jakson mukaisesti myönnetystä tuesta?</w:t>
      </w:r>
    </w:p>
    <w:p w14:paraId="445456F8" w14:textId="77777777" w:rsidR="000D1778" w:rsidRPr="00E966D8" w:rsidRDefault="000D1778" w:rsidP="000D1778">
      <w:pPr>
        <w:pStyle w:val="Text1"/>
        <w:rPr>
          <w:noProof/>
        </w:rPr>
      </w:pPr>
      <w:sdt>
        <w:sdtPr>
          <w:rPr>
            <w:noProof/>
          </w:rPr>
          <w:id w:val="133772042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27364189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729939D6" w14:textId="77777777" w:rsidR="000D1778" w:rsidRPr="00E966D8" w:rsidRDefault="000D1778" w:rsidP="000D1778">
      <w:pPr>
        <w:pStyle w:val="ManualNumPar3"/>
        <w:rPr>
          <w:rFonts w:eastAsia="Times New Roman"/>
          <w:noProof/>
          <w:szCs w:val="24"/>
        </w:rPr>
      </w:pPr>
      <w:r w:rsidRPr="0009343E">
        <w:rPr>
          <w:noProof/>
        </w:rPr>
        <w:t>7.6.1.</w:t>
      </w:r>
      <w:r w:rsidRPr="0009343E">
        <w:rPr>
          <w:noProof/>
        </w:rPr>
        <w:tab/>
      </w:r>
      <w:r w:rsidRPr="00E966D8">
        <w:rPr>
          <w:noProof/>
        </w:rPr>
        <w:t>Jos vastaus on myöntävä, mainitkaa oikeusperustan asianomaiset säännökset:</w:t>
      </w:r>
    </w:p>
    <w:p w14:paraId="7B4CCD76" w14:textId="77777777" w:rsidR="000D1778" w:rsidRPr="00E966D8" w:rsidRDefault="000D1778" w:rsidP="000D1778">
      <w:pPr>
        <w:pStyle w:val="Text1"/>
        <w:rPr>
          <w:noProof/>
        </w:rPr>
      </w:pPr>
      <w:r w:rsidRPr="00E966D8">
        <w:rPr>
          <w:noProof/>
        </w:rPr>
        <w:t>……………………………………………………………………………………….</w:t>
      </w:r>
    </w:p>
    <w:p w14:paraId="4C73187C" w14:textId="77777777" w:rsidR="000D1778" w:rsidRPr="00E966D8" w:rsidRDefault="000D1778" w:rsidP="000D1778">
      <w:pPr>
        <w:pStyle w:val="ManualNumPar1"/>
        <w:rPr>
          <w:noProof/>
        </w:rPr>
      </w:pPr>
      <w:r w:rsidRPr="0009343E">
        <w:rPr>
          <w:noProof/>
        </w:rPr>
        <w:t>8.</w:t>
      </w:r>
      <w:r w:rsidRPr="0009343E">
        <w:rPr>
          <w:noProof/>
        </w:rPr>
        <w:tab/>
      </w:r>
      <w:r w:rsidRPr="00E966D8">
        <w:rPr>
          <w:noProof/>
        </w:rPr>
        <w:t>Huomioikaa, että komissio voi hyväksyä muita laskentatapoja, jos se katsoo, että ne perustuvat objektiivisiin perusteisiin eivätkä johda liiallisiin korvauksiin yhdellekään tuensaajayritykselle.</w:t>
      </w:r>
    </w:p>
    <w:p w14:paraId="767F272F" w14:textId="77777777" w:rsidR="000D1778" w:rsidRPr="00E966D8" w:rsidRDefault="000D1778" w:rsidP="000D1778">
      <w:pPr>
        <w:pStyle w:val="Text1"/>
        <w:rPr>
          <w:noProof/>
        </w:rPr>
      </w:pPr>
      <w:r w:rsidRPr="00E966D8">
        <w:rPr>
          <w:noProof/>
        </w:rPr>
        <w:t>Jos ilmoittava jäsenvaltio aikoo ehdottaa muuta laskentatapaa, perustelkaa, miksi suuntaviivoissa vahvistettu menetelmä ei sovellu kyseiseen tapaukseen, ja selittäkää, miten muu laskentatapa ottaa määritellyt tarpeet paremmin huomioon.</w:t>
      </w:r>
    </w:p>
    <w:p w14:paraId="070F23A0" w14:textId="77777777" w:rsidR="000D1778" w:rsidRPr="00E966D8" w:rsidRDefault="000D1778" w:rsidP="000D1778">
      <w:pPr>
        <w:pStyle w:val="Text1"/>
        <w:rPr>
          <w:noProof/>
        </w:rPr>
      </w:pPr>
      <w:r w:rsidRPr="00E966D8">
        <w:rPr>
          <w:noProof/>
        </w:rPr>
        <w:t>…………………………………………………………………………..</w:t>
      </w:r>
    </w:p>
    <w:p w14:paraId="6AD653D1" w14:textId="77777777" w:rsidR="000D1778" w:rsidRPr="00E966D8" w:rsidRDefault="000D1778" w:rsidP="000D1778">
      <w:pPr>
        <w:pStyle w:val="Text1"/>
        <w:rPr>
          <w:noProof/>
        </w:rPr>
      </w:pPr>
      <w:r w:rsidRPr="00E966D8">
        <w:rPr>
          <w:noProof/>
        </w:rPr>
        <w:t xml:space="preserve">Toimittakaa ilmoituksen liitteenä ehdotettu muu menetelmä sekä osoitus siitä, että se perustuu objektiivisiin perusteisiin eikä johda tuensaajayritysten saamiin liiallisiin korvauksiin. </w:t>
      </w:r>
    </w:p>
    <w:p w14:paraId="3B5A5696" w14:textId="77777777" w:rsidR="000D1778" w:rsidRPr="00E966D8" w:rsidRDefault="000D1778" w:rsidP="000D1778">
      <w:pPr>
        <w:pStyle w:val="ManualNumPar1"/>
        <w:rPr>
          <w:rFonts w:eastAsia="Times New Roman"/>
          <w:noProof/>
          <w:szCs w:val="24"/>
        </w:rPr>
      </w:pPr>
      <w:r w:rsidRPr="0009343E">
        <w:rPr>
          <w:noProof/>
        </w:rPr>
        <w:t>9.</w:t>
      </w:r>
      <w:r w:rsidRPr="0009343E">
        <w:rPr>
          <w:noProof/>
        </w:rPr>
        <w:tab/>
      </w:r>
      <w:r w:rsidRPr="00E966D8">
        <w:rPr>
          <w:noProof/>
        </w:rPr>
        <w:t>Edellytetäänkö toimenpiteessä, että jos pk-yritys on perustettu alle kolme vuotta ennen ulkopuolisen tapahtuman päivämäärää, suuntaviivojen 319 kohdan b alakohdassa tarkoitetun kolmen tai viiden vuoden ajanjakson katsotaan viittaavan sellaisen keskivertoyrityksen tuottamaan ja myymään määrään, joka on hakijan kanssa samansuuruinen eli mikroyritys, pienyritys tai keskisuuri yritys ja toimii kansallisella tai alueellisella alalla, johon ulkopuolinen tapahtuma vaikutti?</w:t>
      </w:r>
    </w:p>
    <w:p w14:paraId="13B8946F" w14:textId="77777777" w:rsidR="000D1778" w:rsidRPr="00E966D8" w:rsidRDefault="000D1778" w:rsidP="000D1778">
      <w:pPr>
        <w:pStyle w:val="Text1"/>
        <w:rPr>
          <w:noProof/>
        </w:rPr>
      </w:pPr>
      <w:sdt>
        <w:sdtPr>
          <w:rPr>
            <w:noProof/>
          </w:rPr>
          <w:id w:val="207362706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35278146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2B2314EE" w14:textId="77777777" w:rsidR="000D1778" w:rsidRPr="00E966D8" w:rsidRDefault="000D1778" w:rsidP="000D1778">
      <w:pPr>
        <w:pStyle w:val="ManualNumPar2"/>
        <w:rPr>
          <w:rFonts w:eastAsia="Times New Roman"/>
          <w:noProof/>
          <w:szCs w:val="24"/>
        </w:rPr>
      </w:pPr>
      <w:r w:rsidRPr="0009343E">
        <w:rPr>
          <w:noProof/>
        </w:rPr>
        <w:t>9.1.</w:t>
      </w:r>
      <w:r w:rsidRPr="0009343E">
        <w:rPr>
          <w:noProof/>
        </w:rPr>
        <w:tab/>
      </w:r>
      <w:r w:rsidRPr="00E966D8">
        <w:rPr>
          <w:noProof/>
        </w:rPr>
        <w:t>Jos vastaus on myöntävä, mainitkaa oikeusperustan asianomaiset säännökset:</w:t>
      </w:r>
    </w:p>
    <w:p w14:paraId="7BE6C78C" w14:textId="77777777" w:rsidR="000D1778" w:rsidRPr="00E966D8" w:rsidRDefault="000D1778" w:rsidP="000D1778">
      <w:pPr>
        <w:pStyle w:val="Text1"/>
        <w:rPr>
          <w:noProof/>
        </w:rPr>
      </w:pPr>
      <w:r w:rsidRPr="00E966D8">
        <w:rPr>
          <w:noProof/>
        </w:rPr>
        <w:t>……………………………………………………………………………………….</w:t>
      </w:r>
    </w:p>
    <w:p w14:paraId="5F8244F0" w14:textId="77777777" w:rsidR="000D1778" w:rsidRPr="00E966D8" w:rsidRDefault="000D1778" w:rsidP="000D1778">
      <w:pPr>
        <w:pStyle w:val="ManualNumPar1"/>
        <w:rPr>
          <w:rFonts w:eastAsia="Times New Roman"/>
          <w:noProof/>
          <w:szCs w:val="24"/>
        </w:rPr>
      </w:pPr>
      <w:r w:rsidRPr="0009343E">
        <w:rPr>
          <w:noProof/>
        </w:rPr>
        <w:t>10.</w:t>
      </w:r>
      <w:r w:rsidRPr="0009343E">
        <w:rPr>
          <w:noProof/>
        </w:rPr>
        <w:tab/>
      </w:r>
      <w:r w:rsidRPr="00E966D8">
        <w:rPr>
          <w:noProof/>
        </w:rPr>
        <w:t>Edellytetäänkö toimenpiteessä, että tuki ja mahdolliset muut maksut mukaan lukien vakuutussopimusten perusteella saadut maksut, saavat olla enintään 100 prosenttia tukikelpoisista kustannuksista?</w:t>
      </w:r>
    </w:p>
    <w:p w14:paraId="239B876D" w14:textId="77777777" w:rsidR="000D1778" w:rsidRPr="00E966D8" w:rsidRDefault="000D1778" w:rsidP="000D1778">
      <w:pPr>
        <w:pStyle w:val="Text1"/>
        <w:rPr>
          <w:noProof/>
        </w:rPr>
      </w:pPr>
      <w:sdt>
        <w:sdtPr>
          <w:rPr>
            <w:noProof/>
          </w:rPr>
          <w:id w:val="-184908728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212236342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20A72B14" w14:textId="77777777" w:rsidR="000D1778" w:rsidRPr="00E966D8" w:rsidRDefault="000D1778" w:rsidP="000D1778">
      <w:pPr>
        <w:pStyle w:val="ManualNumPar2"/>
        <w:rPr>
          <w:rFonts w:eastAsia="Times New Roman"/>
          <w:noProof/>
          <w:szCs w:val="24"/>
        </w:rPr>
      </w:pPr>
      <w:r w:rsidRPr="0009343E">
        <w:rPr>
          <w:noProof/>
        </w:rPr>
        <w:t>10.1.</w:t>
      </w:r>
      <w:r w:rsidRPr="0009343E">
        <w:rPr>
          <w:noProof/>
        </w:rPr>
        <w:tab/>
      </w:r>
      <w:r w:rsidRPr="00E966D8">
        <w:rPr>
          <w:noProof/>
        </w:rPr>
        <w:t>Mainitkaa toimenpiteessä sovellettavat enimmäistuki-intensiteetit.</w:t>
      </w:r>
    </w:p>
    <w:p w14:paraId="482C66DF" w14:textId="77777777" w:rsidR="000D1778" w:rsidRPr="00E966D8" w:rsidRDefault="000D1778" w:rsidP="000D1778">
      <w:pPr>
        <w:pStyle w:val="Text1"/>
        <w:rPr>
          <w:noProof/>
        </w:rPr>
      </w:pPr>
      <w:r w:rsidRPr="00E966D8">
        <w:rPr>
          <w:noProof/>
        </w:rPr>
        <w:t>……………………………………………………………………………………….</w:t>
      </w:r>
    </w:p>
    <w:p w14:paraId="6A735339" w14:textId="77777777" w:rsidR="000D1778" w:rsidRPr="00E966D8" w:rsidRDefault="000D1778" w:rsidP="000D1778">
      <w:pPr>
        <w:pStyle w:val="ManualNumPar2"/>
        <w:rPr>
          <w:rFonts w:eastAsia="Times New Roman"/>
          <w:noProof/>
          <w:szCs w:val="24"/>
        </w:rPr>
      </w:pPr>
      <w:r w:rsidRPr="0009343E">
        <w:rPr>
          <w:noProof/>
        </w:rPr>
        <w:t>10.2.</w:t>
      </w:r>
      <w:r w:rsidRPr="0009343E">
        <w:rPr>
          <w:noProof/>
        </w:rPr>
        <w:tab/>
      </w:r>
      <w:r w:rsidRPr="00E966D8">
        <w:rPr>
          <w:noProof/>
        </w:rPr>
        <w:t>Mainitkaa 100 prosentin rajan vahvistavan oikeusperustan asianomaiset säännökset ja toimenpiteen enimmäistuki-intensiteetit.</w:t>
      </w:r>
    </w:p>
    <w:p w14:paraId="654CA638" w14:textId="77777777" w:rsidR="000D1778" w:rsidRPr="00E966D8" w:rsidRDefault="000D1778" w:rsidP="000D1778">
      <w:pPr>
        <w:pStyle w:val="Text1"/>
        <w:rPr>
          <w:noProof/>
        </w:rPr>
      </w:pPr>
      <w:r w:rsidRPr="00E966D8">
        <w:rPr>
          <w:noProof/>
        </w:rPr>
        <w:t>……………………………………………………………………………………….</w:t>
      </w:r>
    </w:p>
    <w:p w14:paraId="48919D7E" w14:textId="77777777" w:rsidR="000D1778" w:rsidRPr="00E966D8" w:rsidRDefault="000D1778" w:rsidP="000D1778">
      <w:pPr>
        <w:pStyle w:val="ManualHeading4"/>
        <w:rPr>
          <w:noProof/>
        </w:rPr>
      </w:pPr>
      <w:r w:rsidRPr="00E966D8">
        <w:rPr>
          <w:noProof/>
        </w:rPr>
        <w:t>MUUT TIEDOT</w:t>
      </w:r>
    </w:p>
    <w:p w14:paraId="1553BAE0" w14:textId="77777777" w:rsidR="000D1778" w:rsidRPr="00E966D8" w:rsidRDefault="000D1778" w:rsidP="000D1778">
      <w:pPr>
        <w:pStyle w:val="ManualNumPar1"/>
        <w:rPr>
          <w:rFonts w:eastAsia="Times New Roman"/>
          <w:noProof/>
          <w:szCs w:val="24"/>
        </w:rPr>
      </w:pPr>
      <w:r w:rsidRPr="0009343E">
        <w:rPr>
          <w:noProof/>
        </w:rPr>
        <w:t>11.</w:t>
      </w:r>
      <w:r w:rsidRPr="0009343E">
        <w:rPr>
          <w:noProof/>
        </w:rPr>
        <w:tab/>
      </w:r>
      <w:r w:rsidRPr="00E966D8">
        <w:rPr>
          <w:noProof/>
        </w:rPr>
        <w:t>Esittäkää kaikki muut tiedot, jotka katsotte olennaisiksi asianomaisen toimenpiteen suuntaviivojen tämän jakson nojalla tehtävän arvioinnin kannalta.</w:t>
      </w:r>
    </w:p>
    <w:p w14:paraId="4834DD85" w14:textId="77777777" w:rsidR="000D1778" w:rsidRPr="00E966D8" w:rsidRDefault="000D1778" w:rsidP="000D1778">
      <w:pPr>
        <w:pStyle w:val="Text1"/>
        <w:rPr>
          <w:noProof/>
        </w:rPr>
      </w:pPr>
      <w:r w:rsidRPr="00E966D8">
        <w:rPr>
          <w:noProof/>
        </w:rPr>
        <w:t>……………………………………………………………………………………….</w:t>
      </w:r>
    </w:p>
    <w:p w14:paraId="1E302836" w14:textId="77777777" w:rsidR="00E6658B" w:rsidRDefault="00E6658B"/>
    <w:sectPr w:rsidR="00E6658B" w:rsidSect="000D1778">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4B94C" w14:textId="77777777" w:rsidR="000D1778" w:rsidRDefault="000D1778" w:rsidP="000D1778">
      <w:pPr>
        <w:spacing w:before="0" w:after="0"/>
      </w:pPr>
      <w:r>
        <w:separator/>
      </w:r>
    </w:p>
  </w:endnote>
  <w:endnote w:type="continuationSeparator" w:id="0">
    <w:p w14:paraId="2D7CC521" w14:textId="77777777" w:rsidR="000D1778" w:rsidRDefault="000D1778" w:rsidP="000D177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8EB89" w14:textId="77777777" w:rsidR="000D1778" w:rsidRDefault="000D17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BDDDB" w14:textId="77777777" w:rsidR="000D1778" w:rsidRPr="008F2D7C" w:rsidRDefault="000D1778" w:rsidP="008F2D7C">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E96BD" w14:textId="77777777" w:rsidR="000D1778" w:rsidRDefault="000D1778" w:rsidP="00D545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907A1" w14:textId="77777777" w:rsidR="000D1778" w:rsidRDefault="000D1778" w:rsidP="000D1778">
      <w:pPr>
        <w:spacing w:before="0" w:after="0"/>
      </w:pPr>
      <w:r>
        <w:separator/>
      </w:r>
    </w:p>
  </w:footnote>
  <w:footnote w:type="continuationSeparator" w:id="0">
    <w:p w14:paraId="2543E60F" w14:textId="77777777" w:rsidR="000D1778" w:rsidRDefault="000D1778" w:rsidP="000D1778">
      <w:pPr>
        <w:spacing w:before="0" w:after="0"/>
      </w:pPr>
      <w:r>
        <w:continuationSeparator/>
      </w:r>
    </w:p>
  </w:footnote>
  <w:footnote w:id="1">
    <w:p w14:paraId="6F11004E" w14:textId="77777777" w:rsidR="000D1778" w:rsidRPr="00C03E87" w:rsidRDefault="000D1778" w:rsidP="000D1778">
      <w:pPr>
        <w:pStyle w:val="FootnoteText"/>
      </w:pPr>
      <w:r>
        <w:rPr>
          <w:rStyle w:val="FootnoteReference"/>
        </w:rPr>
        <w:footnoteRef/>
      </w:r>
      <w:r>
        <w:tab/>
        <w:t>EUVL C 107,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59FE7" w14:textId="77777777" w:rsidR="000D1778" w:rsidRDefault="000D17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B1772" w14:textId="77777777" w:rsidR="000D1778" w:rsidRDefault="000D17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F351B" w14:textId="77777777" w:rsidR="000D1778" w:rsidRDefault="000D17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6966568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738144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D1778"/>
    <w:rsid w:val="000216FC"/>
    <w:rsid w:val="00023793"/>
    <w:rsid w:val="0002601F"/>
    <w:rsid w:val="000530AA"/>
    <w:rsid w:val="00053A8E"/>
    <w:rsid w:val="00055092"/>
    <w:rsid w:val="00061517"/>
    <w:rsid w:val="00061AD8"/>
    <w:rsid w:val="00073E1D"/>
    <w:rsid w:val="000A0CEC"/>
    <w:rsid w:val="000C3D88"/>
    <w:rsid w:val="000D177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01812"/>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89A2D"/>
  <w15:chartTrackingRefBased/>
  <w15:docId w15:val="{70DC7FDF-14A7-400B-B414-D67648F60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1778"/>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0D17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D17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D177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D177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D177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17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177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17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177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D177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D1778"/>
    <w:rPr>
      <w:i/>
      <w:iCs/>
      <w:color w:val="365F91" w:themeColor="accent1" w:themeShade="BF"/>
    </w:rPr>
  </w:style>
  <w:style w:type="paragraph" w:styleId="IntenseQuote">
    <w:name w:val="Intense Quote"/>
    <w:basedOn w:val="Normal"/>
    <w:next w:val="Normal"/>
    <w:link w:val="IntenseQuoteChar"/>
    <w:uiPriority w:val="30"/>
    <w:qFormat/>
    <w:rsid w:val="000D177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D177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D1778"/>
    <w:rPr>
      <w:b/>
      <w:bCs/>
      <w:smallCaps/>
      <w:color w:val="365F91" w:themeColor="accent1" w:themeShade="BF"/>
      <w:spacing w:val="5"/>
    </w:rPr>
  </w:style>
  <w:style w:type="paragraph" w:styleId="Signature">
    <w:name w:val="Signature"/>
    <w:basedOn w:val="Normal"/>
    <w:link w:val="FootnoteReference"/>
    <w:uiPriority w:val="99"/>
    <w:rsid w:val="000D1778"/>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0D1778"/>
    <w:rPr>
      <w:rFonts w:ascii="Times New Roman" w:hAnsi="Times New Roman" w:cs="Times New Roman"/>
      <w:kern w:val="0"/>
      <w:sz w:val="24"/>
      <w:lang w:val="fi-FI"/>
      <w14:ligatures w14:val="none"/>
    </w:rPr>
  </w:style>
  <w:style w:type="paragraph" w:customStyle="1" w:styleId="Text1">
    <w:name w:val="Text 1"/>
    <w:basedOn w:val="Normal"/>
    <w:rsid w:val="000D1778"/>
    <w:pPr>
      <w:ind w:left="850"/>
    </w:pPr>
  </w:style>
  <w:style w:type="paragraph" w:customStyle="1" w:styleId="Point1">
    <w:name w:val="Point 1"/>
    <w:basedOn w:val="Normal"/>
    <w:rsid w:val="000D1778"/>
    <w:pPr>
      <w:ind w:left="1417" w:hanging="567"/>
    </w:pPr>
  </w:style>
  <w:style w:type="paragraph" w:customStyle="1" w:styleId="Point0number">
    <w:name w:val="Point 0 (number)"/>
    <w:basedOn w:val="Normal"/>
    <w:rsid w:val="000D1778"/>
    <w:pPr>
      <w:numPr>
        <w:numId w:val="45"/>
      </w:numPr>
    </w:pPr>
  </w:style>
  <w:style w:type="paragraph" w:customStyle="1" w:styleId="Point1number">
    <w:name w:val="Point 1 (number)"/>
    <w:basedOn w:val="Normal"/>
    <w:rsid w:val="000D1778"/>
    <w:pPr>
      <w:numPr>
        <w:ilvl w:val="2"/>
        <w:numId w:val="45"/>
      </w:numPr>
    </w:pPr>
  </w:style>
  <w:style w:type="paragraph" w:customStyle="1" w:styleId="Point2number">
    <w:name w:val="Point 2 (number)"/>
    <w:basedOn w:val="Normal"/>
    <w:rsid w:val="000D1778"/>
    <w:pPr>
      <w:numPr>
        <w:ilvl w:val="4"/>
        <w:numId w:val="45"/>
      </w:numPr>
    </w:pPr>
  </w:style>
  <w:style w:type="paragraph" w:customStyle="1" w:styleId="Point3number">
    <w:name w:val="Point 3 (number)"/>
    <w:basedOn w:val="Normal"/>
    <w:rsid w:val="000D1778"/>
    <w:pPr>
      <w:numPr>
        <w:ilvl w:val="6"/>
        <w:numId w:val="45"/>
      </w:numPr>
    </w:pPr>
  </w:style>
  <w:style w:type="paragraph" w:customStyle="1" w:styleId="Point0letter">
    <w:name w:val="Point 0 (letter)"/>
    <w:basedOn w:val="Normal"/>
    <w:rsid w:val="000D1778"/>
    <w:pPr>
      <w:numPr>
        <w:ilvl w:val="1"/>
        <w:numId w:val="45"/>
      </w:numPr>
    </w:pPr>
  </w:style>
  <w:style w:type="paragraph" w:customStyle="1" w:styleId="Point1letter">
    <w:name w:val="Point 1 (letter)"/>
    <w:basedOn w:val="Normal"/>
    <w:rsid w:val="000D1778"/>
    <w:pPr>
      <w:numPr>
        <w:ilvl w:val="3"/>
        <w:numId w:val="45"/>
      </w:numPr>
    </w:pPr>
  </w:style>
  <w:style w:type="paragraph" w:customStyle="1" w:styleId="Point2letter">
    <w:name w:val="Point 2 (letter)"/>
    <w:basedOn w:val="Normal"/>
    <w:rsid w:val="000D1778"/>
    <w:pPr>
      <w:numPr>
        <w:ilvl w:val="5"/>
        <w:numId w:val="45"/>
      </w:numPr>
    </w:pPr>
  </w:style>
  <w:style w:type="paragraph" w:customStyle="1" w:styleId="Point3letter">
    <w:name w:val="Point 3 (letter)"/>
    <w:basedOn w:val="Normal"/>
    <w:rsid w:val="000D1778"/>
    <w:pPr>
      <w:numPr>
        <w:ilvl w:val="7"/>
        <w:numId w:val="45"/>
      </w:numPr>
    </w:pPr>
  </w:style>
  <w:style w:type="paragraph" w:customStyle="1" w:styleId="Point4letter">
    <w:name w:val="Point 4 (letter)"/>
    <w:basedOn w:val="Normal"/>
    <w:rsid w:val="000D1778"/>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723</Words>
  <Characters>6159</Characters>
  <DocSecurity>0</DocSecurity>
  <Lines>108</Lines>
  <Paragraphs>55</Paragraphs>
  <ScaleCrop>false</ScaleCrop>
  <LinksUpToDate>false</LinksUpToDate>
  <CharactersWithSpaces>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2025-05-25T15:16:00Z</dcterms:created>
  <dcterms:modified xsi:type="dcterms:W3CDTF">2025-05-25T15:16:00Z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2025-05-25T15:16:51Z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3884cd41-657f-434e-9f89-9994f5ffd79d</vt:lpwstr>
  </property>
  <property fmtid="{D5CDD505-2E9C-101B-9397-08002B2CF9AE}" pid="8" name="MSIP_Label_6bd9ddd1-4d20-43f6-abfa-fc3c07406f94_ContentBits">
    <vt:lpwstr>0</vt:lpwstr>
  </property>
</Properties>
</file>